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RESOLUTION NO. 25-03</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Title: </w:t>
      </w:r>
      <w:r w:rsidDel="00000000" w:rsidR="00000000" w:rsidRPr="00000000">
        <w:rPr>
          <w:sz w:val="24"/>
          <w:szCs w:val="24"/>
          <w:rtl w:val="0"/>
        </w:rPr>
        <w:t xml:space="preserve">Preserve Private Practice Primary Care with a Strategic Partnership </w:t>
        <w:br w:type="textWrapping"/>
      </w:r>
      <w:r w:rsidDel="00000000" w:rsidR="00000000" w:rsidRPr="00000000">
        <w:rPr>
          <w:b w:val="1"/>
          <w:sz w:val="24"/>
          <w:szCs w:val="24"/>
          <w:rtl w:val="0"/>
        </w:rPr>
        <w:t xml:space="preserve">Author:</w:t>
      </w:r>
      <w:r w:rsidDel="00000000" w:rsidR="00000000" w:rsidRPr="00000000">
        <w:rPr>
          <w:sz w:val="24"/>
          <w:szCs w:val="24"/>
          <w:rtl w:val="0"/>
        </w:rPr>
        <w:t xml:space="preserve"> Robert Jackson MD, MMM, FAAFP</w:t>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WHEREAS, MAFP has recognized the need for more Family Medicine physicians; and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WHEREAS, multiple choices for type of practice make Family Medicine more likely to be chosen by medical students as a viable career option; and </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WHEREAS, MAFP has the opportunity to form a strategic partnership with Carebridge (a federally qualified non-profit 501(c)3 organization as a sponsoring organization) for funding applications aimed at addressing the critical challenges facing private practice physicians; and </w:t>
        <w:br w:type="textWrapping"/>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WHEREAS, many funding opportunities require an established medical association to serve as the lead applicant. With its credibility and 501(c)3 status, MAFP is uniquely positioned to unlock funding opportunities that are often inaccessible to direct service organizations like Carebridge; and </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WHEREAS, Carebridge offers deep expertise in physician recruitment, succession planning, and practice sustainability—areas that directly impact MAFP’s membership. Through this collaboration, MAFP would serve as the lead applicant on grant proposals, while Carebridge would provide program design, implementation, and outcome measurement. This partnership enables MAFP to demonstrate leadership in addressing physician burnout, supporting practice viability, and expanding access to care—without incurring additional operational burden; and </w:t>
        <w:br w:type="textWrapping"/>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WHEREAS, MAFP and Carebridge together can build a sustainable funding pipeline that empowers MAFP members, removes barriers to practice stability and growth, and improves access to primary care across Michigan communities, and be it</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RESOLVED, That the Michigan Academy of Family Physician explores a relationship with a 501(c)3 organization which funds applications to improve recruitment of Family Physicians into existing high-performing primary care private practices.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