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RESOLUTION NO. 25-04</w:t>
      </w:r>
    </w:p>
    <w:p w:rsidR="00000000" w:rsidDel="00000000" w:rsidP="00000000" w:rsidRDefault="00000000" w:rsidRPr="00000000" w14:paraId="00000002">
      <w:pPr>
        <w:spacing w:line="240" w:lineRule="auto"/>
        <w:rPr>
          <w:sz w:val="24"/>
          <w:szCs w:val="24"/>
        </w:rPr>
      </w:pPr>
      <w:bookmarkStart w:colFirst="0" w:colLast="0" w:name="_bk0jtuvnb90s" w:id="0"/>
      <w:bookmarkEnd w:id="0"/>
      <w:r w:rsidDel="00000000" w:rsidR="00000000" w:rsidRPr="00000000">
        <w:rPr>
          <w:sz w:val="24"/>
          <w:szCs w:val="24"/>
          <w:highlight w:val="green"/>
          <w:rtl w:val="0"/>
        </w:rPr>
        <w:br w:type="textWrapping"/>
      </w:r>
      <w:r w:rsidDel="00000000" w:rsidR="00000000" w:rsidRPr="00000000">
        <w:rPr>
          <w:b w:val="1"/>
          <w:sz w:val="24"/>
          <w:szCs w:val="24"/>
          <w:rtl w:val="0"/>
        </w:rPr>
        <w:t xml:space="preserve">Title: </w:t>
      </w:r>
      <w:r w:rsidDel="00000000" w:rsidR="00000000" w:rsidRPr="00000000">
        <w:rPr>
          <w:sz w:val="24"/>
          <w:szCs w:val="24"/>
          <w:rtl w:val="0"/>
        </w:rPr>
        <w:t xml:space="preserve">Advisory Committee on Immunization Practices</w:t>
      </w:r>
    </w:p>
    <w:p w:rsidR="00000000" w:rsidDel="00000000" w:rsidP="00000000" w:rsidRDefault="00000000" w:rsidRPr="00000000" w14:paraId="00000003">
      <w:pPr>
        <w:spacing w:line="240" w:lineRule="auto"/>
        <w:rPr>
          <w:sz w:val="24"/>
          <w:szCs w:val="24"/>
        </w:rPr>
      </w:pPr>
      <w:r w:rsidDel="00000000" w:rsidR="00000000" w:rsidRPr="00000000">
        <w:rPr>
          <w:b w:val="1"/>
          <w:sz w:val="24"/>
          <w:szCs w:val="24"/>
          <w:rtl w:val="0"/>
        </w:rPr>
        <w:t xml:space="preserve">Author:</w:t>
      </w:r>
      <w:r w:rsidDel="00000000" w:rsidR="00000000" w:rsidRPr="00000000">
        <w:rPr>
          <w:sz w:val="24"/>
          <w:szCs w:val="24"/>
          <w:rtl w:val="0"/>
        </w:rPr>
        <w:t xml:space="preserve"> Pamela G. Rockwell, DO, FAAFP</w:t>
      </w:r>
    </w:p>
    <w:p w:rsidR="00000000" w:rsidDel="00000000" w:rsidP="00000000" w:rsidRDefault="00000000" w:rsidRPr="00000000" w14:paraId="00000004">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WHEREAS, the Advisory Committee on Immunization Practices (ACIP) is a non-partisan public body comprised of a diverse group of medical and public health experts and one member of the public (consumer representative) established in 1964 by the U.S. Surgeon General to assist in the prevention and control of communicable diseases; and</w:t>
        <w:br w:type="textWrapping"/>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WHEREAS, ACIP is a federal advisory committee that develops evidence-based recommendations on the use of vaccines and biologics licensed by the Food and Drug Administration (FDA) for the civilian population in the United States; and</w:t>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br w:type="textWrapping"/>
        <w:t xml:space="preserve">WHEREAS, Section 1928 of the Social Security Act provides for ACIP to designate recommended vaccines to be included in the Vaccines for Children (VFC) Program; and</w:t>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br w:type="textWrapping"/>
        <w:t xml:space="preserve">WHEREAS, Stringent measures and rigorous screening are used to avoid real and apparent conflicts of interest, and no special interest or lobbying groups provide material support to ACIP or its members; and</w:t>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br w:type="textWrapping"/>
        <w:t xml:space="preserve">WHEREAS, ACIP works closely with many liaison organizations to develop recommendations, which are harmonized among key professional medical societies; and</w:t>
        <w:br w:type="textWrapping"/>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WHEREAS, ACIP decisions are evidenced-based and informed by input from stakeholders and subject matter experts; and</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br w:type="textWrapping"/>
        <w:t xml:space="preserve">WHEREAS, Conflicts of interest are always declared and open for review; and</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br w:type="textWrapping"/>
        <w:t xml:space="preserve">WHEREAS, the Centers for Disease Control and Prevention (CDC) sets the U.S. adult and childhood immunization schedules based on recommendations of ACIP; and</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br w:type="textWrapping"/>
        <w:t xml:space="preserve">WHEREAS, vaccines have proven to reduce hospitalization and death from vaccine-preventable disease; and</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br w:type="textWrapping"/>
        <w:t xml:space="preserve">WHEREAS, it is imperative for recommendations to be made without political interference; and</w:t>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br w:type="textWrapping"/>
        <w:t xml:space="preserve">WHEREAS, the recent decision by the Secretary of U.S. Department of Health and Human Services (HHS) to abruptly removed 17 vaccine experts for ACIP without cause or sound rationale; and</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br w:type="textWrapping"/>
        <w:t xml:space="preserve">WHEREAS, America’s family physicians recognize that vaccines and immunizations are invaluable tools for keeping patients healthy across the lifespan; therefore, be it</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br w:type="textWrapping"/>
        <w:t xml:space="preserve">RESOLVED, </w:t>
      </w:r>
      <w:r w:rsidDel="00000000" w:rsidR="00000000" w:rsidRPr="00000000">
        <w:rPr>
          <w:rtl w:val="0"/>
        </w:rPr>
        <w:t xml:space="preserve">That the Michigan Academy of Family Physicians requests the American Academy of Family Physicians </w:t>
      </w:r>
      <w:r w:rsidDel="00000000" w:rsidR="00000000" w:rsidRPr="00000000">
        <w:rPr>
          <w:sz w:val="24"/>
          <w:szCs w:val="24"/>
          <w:rtl w:val="0"/>
        </w:rPr>
        <w:t xml:space="preserve">to initiate public advocacy in support of the current Advisory Committee on Immunization Practices structure, including the liaison representative program; and be it</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RESOLVED, </w:t>
      </w:r>
      <w:r w:rsidDel="00000000" w:rsidR="00000000" w:rsidRPr="00000000">
        <w:rPr>
          <w:rtl w:val="0"/>
        </w:rPr>
        <w:t xml:space="preserve">That the Michigan Academy of Family Physicians requests the American Academy of Family Physicians </w:t>
      </w:r>
      <w:r w:rsidDel="00000000" w:rsidR="00000000" w:rsidRPr="00000000">
        <w:rPr>
          <w:sz w:val="24"/>
          <w:szCs w:val="24"/>
          <w:rtl w:val="0"/>
        </w:rPr>
        <w:t xml:space="preserve">send a letter to the Secretary of U.S. Department of Health and Human Services calling for an immediate reversal of the recent changes to Advisory Committee on Immunization Practices; and be it  </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br w:type="textWrapping"/>
        <w:t xml:space="preserve">RESOLVED, </w:t>
      </w:r>
      <w:r w:rsidDel="00000000" w:rsidR="00000000" w:rsidRPr="00000000">
        <w:rPr>
          <w:rtl w:val="0"/>
        </w:rPr>
        <w:t xml:space="preserve">That the Michigan Academy of Family Physicians requests the American Academy of Family Physicians </w:t>
      </w:r>
      <w:r w:rsidDel="00000000" w:rsidR="00000000" w:rsidRPr="00000000">
        <w:rPr>
          <w:sz w:val="24"/>
          <w:szCs w:val="24"/>
          <w:rtl w:val="0"/>
        </w:rPr>
        <w:t xml:space="preserve">send a letter to the Senate Committee on Health, Education, Labor and Pensions and request an investigation into the actions of the Secretary of U.S. Department of Health and Human Services regarding his administration of the Centers for Disease Control and Prevention and Advisory Committee on Immunization Practices; and be it further</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br w:type="textWrapping"/>
        <w:t xml:space="preserve">RESOLVED, </w:t>
      </w:r>
      <w:r w:rsidDel="00000000" w:rsidR="00000000" w:rsidRPr="00000000">
        <w:rPr>
          <w:rtl w:val="0"/>
        </w:rPr>
        <w:t xml:space="preserve">That the Michigan Academy of Family Physicians requests the American Academy of Family Physicians </w:t>
      </w:r>
      <w:r w:rsidDel="00000000" w:rsidR="00000000" w:rsidRPr="00000000">
        <w:rPr>
          <w:sz w:val="24"/>
          <w:szCs w:val="24"/>
          <w:rtl w:val="0"/>
        </w:rPr>
        <w:t xml:space="preserve">will, if necessary, identify and solidify alternative evidence-based vaccine advisory structures and vaccine guidelines and invest resources in such initiatives.</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